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0DE7B9">
      <w:pPr>
        <w:widowControl/>
        <w:shd w:val="clear" w:color="auto" w:fill="FFFFFF"/>
        <w:spacing w:before="100" w:beforeAutospacing="1" w:after="100" w:afterAutospacing="1" w:line="480" w:lineRule="auto"/>
        <w:ind w:firstLine="0"/>
        <w:jc w:val="left"/>
        <w:rPr>
          <w:rFonts w:hint="eastAsia" w:ascii="仿宋" w:hAnsi="仿宋" w:eastAsia="仿宋" w:cs="宋体"/>
          <w:kern w:val="0"/>
          <w:sz w:val="30"/>
          <w:szCs w:val="30"/>
          <w:lang w:val="en"/>
        </w:rPr>
      </w:pPr>
      <w:r>
        <w:rPr>
          <w:rFonts w:hint="default" w:ascii="Times New Roman" w:hAnsi="Times New Roman" w:eastAsia="方正黑体_GBK" w:cs="Times New Roman"/>
          <w:kern w:val="0"/>
          <w:sz w:val="28"/>
          <w:szCs w:val="28"/>
          <w:lang w:val="en"/>
        </w:rPr>
        <w:t>附件2</w:t>
      </w:r>
    </w:p>
    <w:p w14:paraId="26EE2DFE">
      <w:pPr>
        <w:widowControl w:val="0"/>
        <w:shd w:val="clear" w:color="auto" w:fill="FFFFFF"/>
        <w:spacing w:before="0" w:beforeAutospacing="0" w:after="0" w:afterAutospacing="0" w:line="600" w:lineRule="exact"/>
        <w:ind w:firstLine="0"/>
        <w:jc w:val="center"/>
        <w:rPr>
          <w:rFonts w:hint="eastAsia" w:ascii="方正小标宋_GBK" w:hAnsi="方正小标宋_GBK" w:eastAsia="方正小标宋_GBK" w:cs="方正小标宋_GBK"/>
          <w:b w:val="0"/>
          <w:kern w:val="0"/>
          <w:sz w:val="40"/>
          <w:szCs w:val="40"/>
          <w:lang w:val="en"/>
        </w:rPr>
      </w:pPr>
      <w:r>
        <w:rPr>
          <w:rFonts w:hint="eastAsia" w:ascii="方正小标宋_GBK" w:hAnsi="方正小标宋_GBK" w:eastAsia="方正小标宋_GBK" w:cs="方正小标宋_GBK"/>
          <w:b w:val="0"/>
          <w:kern w:val="0"/>
          <w:sz w:val="40"/>
          <w:szCs w:val="40"/>
          <w:lang w:val="en"/>
        </w:rPr>
        <w:t>基建专用存款账户开户银行评选指标</w:t>
      </w:r>
    </w:p>
    <w:p w14:paraId="299172A1">
      <w:pPr>
        <w:widowControl w:val="0"/>
        <w:shd w:val="clear" w:color="auto" w:fill="FFFFFF"/>
        <w:spacing w:before="0" w:beforeAutospacing="0" w:after="0" w:afterAutospacing="0" w:line="600" w:lineRule="exact"/>
        <w:ind w:firstLine="0"/>
        <w:jc w:val="center"/>
        <w:rPr>
          <w:rFonts w:hint="eastAsia" w:ascii="方正小标宋_GBK" w:hAnsi="方正小标宋_GBK" w:eastAsia="方正小标宋_GBK" w:cs="方正小标宋_GBK"/>
          <w:b w:val="0"/>
          <w:kern w:val="0"/>
          <w:sz w:val="40"/>
          <w:szCs w:val="40"/>
          <w:lang w:val="en"/>
        </w:rPr>
      </w:pPr>
    </w:p>
    <w:tbl>
      <w:tblPr>
        <w:tblStyle w:val="4"/>
        <w:tblW w:w="8796" w:type="dxa"/>
        <w:tblInd w:w="-1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709"/>
        <w:gridCol w:w="2977"/>
        <w:gridCol w:w="709"/>
        <w:gridCol w:w="2551"/>
        <w:gridCol w:w="1134"/>
      </w:tblGrid>
      <w:tr w14:paraId="7ED5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vAlign w:val="center"/>
          </w:tcPr>
          <w:p w14:paraId="1A673F12">
            <w:pPr>
              <w:jc w:val="center"/>
              <w:rPr>
                <w:rFonts w:hint="eastAsia" w:ascii="方正黑体_GBK" w:hAnsi="方正黑体_GBK" w:eastAsia="方正黑体_GBK" w:cs="方正黑体_GBK"/>
                <w:kern w:val="0"/>
                <w:sz w:val="24"/>
                <w:szCs w:val="20"/>
              </w:rPr>
            </w:pPr>
            <w:r>
              <w:rPr>
                <w:rFonts w:hint="eastAsia" w:ascii="方正黑体_GBK" w:hAnsi="方正黑体_GBK" w:eastAsia="方正黑体_GBK" w:cs="方正黑体_GBK"/>
                <w:kern w:val="0"/>
                <w:sz w:val="24"/>
                <w:szCs w:val="20"/>
              </w:rPr>
              <w:t>序号</w:t>
            </w:r>
          </w:p>
        </w:tc>
        <w:tc>
          <w:tcPr>
            <w:tcW w:w="3686" w:type="dxa"/>
            <w:gridSpan w:val="2"/>
            <w:vAlign w:val="center"/>
          </w:tcPr>
          <w:p w14:paraId="05EB4832">
            <w:pPr>
              <w:jc w:val="center"/>
              <w:rPr>
                <w:rFonts w:hint="eastAsia" w:ascii="方正黑体_GBK" w:hAnsi="方正黑体_GBK" w:eastAsia="方正黑体_GBK" w:cs="方正黑体_GBK"/>
                <w:kern w:val="0"/>
                <w:sz w:val="24"/>
                <w:szCs w:val="20"/>
              </w:rPr>
            </w:pPr>
            <w:r>
              <w:rPr>
                <w:rFonts w:hint="eastAsia" w:ascii="方正黑体_GBK" w:hAnsi="方正黑体_GBK" w:eastAsia="方正黑体_GBK" w:cs="方正黑体_GBK"/>
                <w:kern w:val="0"/>
                <w:sz w:val="24"/>
                <w:szCs w:val="20"/>
              </w:rPr>
              <w:t>评分内容</w:t>
            </w:r>
          </w:p>
        </w:tc>
        <w:tc>
          <w:tcPr>
            <w:tcW w:w="709" w:type="dxa"/>
            <w:vAlign w:val="center"/>
          </w:tcPr>
          <w:p w14:paraId="2E3D518D">
            <w:pPr>
              <w:jc w:val="center"/>
              <w:rPr>
                <w:rFonts w:hint="eastAsia" w:ascii="方正黑体_GBK" w:hAnsi="方正黑体_GBK" w:eastAsia="方正黑体_GBK" w:cs="方正黑体_GBK"/>
                <w:kern w:val="0"/>
                <w:sz w:val="24"/>
                <w:szCs w:val="20"/>
              </w:rPr>
            </w:pPr>
            <w:r>
              <w:rPr>
                <w:rFonts w:hint="eastAsia" w:ascii="方正黑体_GBK" w:hAnsi="方正黑体_GBK" w:eastAsia="方正黑体_GBK" w:cs="方正黑体_GBK"/>
                <w:kern w:val="0"/>
                <w:sz w:val="24"/>
                <w:szCs w:val="20"/>
              </w:rPr>
              <w:t>分值</w:t>
            </w:r>
          </w:p>
        </w:tc>
        <w:tc>
          <w:tcPr>
            <w:tcW w:w="2551" w:type="dxa"/>
            <w:vAlign w:val="center"/>
          </w:tcPr>
          <w:p w14:paraId="016E4839">
            <w:pPr>
              <w:jc w:val="center"/>
              <w:rPr>
                <w:rFonts w:hint="eastAsia" w:ascii="方正黑体_GBK" w:hAnsi="方正黑体_GBK" w:eastAsia="方正黑体_GBK" w:cs="方正黑体_GBK"/>
                <w:kern w:val="0"/>
                <w:sz w:val="24"/>
                <w:szCs w:val="20"/>
              </w:rPr>
            </w:pPr>
            <w:r>
              <w:rPr>
                <w:rFonts w:hint="eastAsia" w:ascii="方正黑体_GBK" w:hAnsi="方正黑体_GBK" w:eastAsia="方正黑体_GBK" w:cs="方正黑体_GBK"/>
                <w:kern w:val="0"/>
                <w:sz w:val="24"/>
                <w:szCs w:val="20"/>
              </w:rPr>
              <w:t>评分依据</w:t>
            </w:r>
          </w:p>
        </w:tc>
        <w:tc>
          <w:tcPr>
            <w:tcW w:w="1134" w:type="dxa"/>
            <w:vAlign w:val="center"/>
          </w:tcPr>
          <w:p w14:paraId="4C876EF3">
            <w:pPr>
              <w:jc w:val="center"/>
              <w:rPr>
                <w:rFonts w:hint="eastAsia" w:ascii="方正黑体_GBK" w:hAnsi="方正黑体_GBK" w:eastAsia="方正黑体_GBK" w:cs="方正黑体_GBK"/>
                <w:kern w:val="0"/>
                <w:sz w:val="24"/>
                <w:szCs w:val="20"/>
              </w:rPr>
            </w:pPr>
            <w:r>
              <w:rPr>
                <w:rFonts w:hint="eastAsia" w:ascii="方正黑体_GBK" w:hAnsi="方正黑体_GBK" w:eastAsia="方正黑体_GBK" w:cs="方正黑体_GBK"/>
                <w:kern w:val="0"/>
                <w:sz w:val="24"/>
                <w:szCs w:val="20"/>
              </w:rPr>
              <w:t>指标值</w:t>
            </w:r>
          </w:p>
        </w:tc>
      </w:tr>
      <w:tr w14:paraId="3092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vAlign w:val="center"/>
          </w:tcPr>
          <w:p w14:paraId="596245E8">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1</w:t>
            </w:r>
          </w:p>
        </w:tc>
        <w:tc>
          <w:tcPr>
            <w:tcW w:w="709" w:type="dxa"/>
            <w:vMerge w:val="restart"/>
            <w:vAlign w:val="center"/>
          </w:tcPr>
          <w:p w14:paraId="5F337BB7">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经营状况指标</w:t>
            </w:r>
          </w:p>
          <w:p w14:paraId="35227614">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（50分）</w:t>
            </w:r>
          </w:p>
        </w:tc>
        <w:tc>
          <w:tcPr>
            <w:tcW w:w="2977" w:type="dxa"/>
            <w:vAlign w:val="center"/>
          </w:tcPr>
          <w:p w14:paraId="3D92D331">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2025年总行净资产总额</w:t>
            </w:r>
          </w:p>
          <w:p w14:paraId="44BCC59C">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（顺向指标）</w:t>
            </w:r>
          </w:p>
        </w:tc>
        <w:tc>
          <w:tcPr>
            <w:tcW w:w="709" w:type="dxa"/>
            <w:vAlign w:val="center"/>
          </w:tcPr>
          <w:p w14:paraId="18F5BE1A">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5</w:t>
            </w:r>
          </w:p>
        </w:tc>
        <w:tc>
          <w:tcPr>
            <w:tcW w:w="2551" w:type="dxa"/>
            <w:vMerge w:val="restart"/>
            <w:vAlign w:val="center"/>
          </w:tcPr>
          <w:p w14:paraId="268AA96A">
            <w:pPr>
              <w:jc w:val="left"/>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以参选银行2025年财报为基准，按参选行该项指标排序，最高者得5分，第二名得4分，第三名得3分，第四名得2分（其中不良贷款率为逆向指标）</w:t>
            </w:r>
          </w:p>
        </w:tc>
        <w:tc>
          <w:tcPr>
            <w:tcW w:w="1134" w:type="dxa"/>
          </w:tcPr>
          <w:p w14:paraId="71F0732E">
            <w:pPr>
              <w:jc w:val="left"/>
              <w:rPr>
                <w:rFonts w:hint="default" w:ascii="Times New Roman" w:hAnsi="Times New Roman" w:eastAsia="仿宋" w:cs="Times New Roman"/>
                <w:kern w:val="0"/>
                <w:sz w:val="24"/>
                <w:szCs w:val="20"/>
              </w:rPr>
            </w:pPr>
          </w:p>
        </w:tc>
      </w:tr>
      <w:tr w14:paraId="021A8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vAlign w:val="center"/>
          </w:tcPr>
          <w:p w14:paraId="6C9578DC">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2</w:t>
            </w:r>
          </w:p>
        </w:tc>
        <w:tc>
          <w:tcPr>
            <w:tcW w:w="709" w:type="dxa"/>
            <w:vMerge w:val="continue"/>
            <w:vAlign w:val="center"/>
          </w:tcPr>
          <w:p w14:paraId="3D4A9299">
            <w:pPr>
              <w:jc w:val="center"/>
              <w:rPr>
                <w:rFonts w:hint="default" w:ascii="Times New Roman" w:hAnsi="Times New Roman" w:eastAsia="仿宋" w:cs="Times New Roman"/>
                <w:kern w:val="0"/>
                <w:sz w:val="24"/>
                <w:szCs w:val="20"/>
              </w:rPr>
            </w:pPr>
          </w:p>
        </w:tc>
        <w:tc>
          <w:tcPr>
            <w:tcW w:w="2977" w:type="dxa"/>
            <w:vAlign w:val="center"/>
          </w:tcPr>
          <w:p w14:paraId="60BAFC64">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2025年总行资本充足率</w:t>
            </w:r>
          </w:p>
          <w:p w14:paraId="00716312">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（顺向指标）</w:t>
            </w:r>
          </w:p>
        </w:tc>
        <w:tc>
          <w:tcPr>
            <w:tcW w:w="709" w:type="dxa"/>
            <w:vAlign w:val="center"/>
          </w:tcPr>
          <w:p w14:paraId="18F25BBE">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5</w:t>
            </w:r>
          </w:p>
        </w:tc>
        <w:tc>
          <w:tcPr>
            <w:tcW w:w="2551" w:type="dxa"/>
            <w:vMerge w:val="continue"/>
            <w:vAlign w:val="center"/>
          </w:tcPr>
          <w:p w14:paraId="24B65654">
            <w:pPr>
              <w:jc w:val="left"/>
              <w:rPr>
                <w:rFonts w:hint="default" w:ascii="Times New Roman" w:hAnsi="Times New Roman" w:eastAsia="仿宋" w:cs="Times New Roman"/>
                <w:kern w:val="0"/>
                <w:sz w:val="24"/>
                <w:szCs w:val="20"/>
              </w:rPr>
            </w:pPr>
          </w:p>
        </w:tc>
        <w:tc>
          <w:tcPr>
            <w:tcW w:w="1134" w:type="dxa"/>
          </w:tcPr>
          <w:p w14:paraId="28612D65">
            <w:pPr>
              <w:jc w:val="left"/>
              <w:rPr>
                <w:rFonts w:hint="default" w:ascii="Times New Roman" w:hAnsi="Times New Roman" w:eastAsia="仿宋" w:cs="Times New Roman"/>
                <w:kern w:val="0"/>
                <w:sz w:val="24"/>
                <w:szCs w:val="20"/>
              </w:rPr>
            </w:pPr>
          </w:p>
        </w:tc>
      </w:tr>
      <w:tr w14:paraId="6C703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vAlign w:val="center"/>
          </w:tcPr>
          <w:p w14:paraId="4F881561">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3</w:t>
            </w:r>
          </w:p>
        </w:tc>
        <w:tc>
          <w:tcPr>
            <w:tcW w:w="709" w:type="dxa"/>
            <w:vMerge w:val="continue"/>
            <w:vAlign w:val="center"/>
          </w:tcPr>
          <w:p w14:paraId="32A90BE9">
            <w:pPr>
              <w:jc w:val="center"/>
              <w:rPr>
                <w:rFonts w:hint="default" w:ascii="Times New Roman" w:hAnsi="Times New Roman" w:eastAsia="仿宋" w:cs="Times New Roman"/>
                <w:kern w:val="0"/>
                <w:sz w:val="24"/>
                <w:szCs w:val="20"/>
              </w:rPr>
            </w:pPr>
          </w:p>
        </w:tc>
        <w:tc>
          <w:tcPr>
            <w:tcW w:w="2977" w:type="dxa"/>
            <w:vAlign w:val="center"/>
          </w:tcPr>
          <w:p w14:paraId="5AA6C683">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2025年总行不良贷款率</w:t>
            </w:r>
          </w:p>
          <w:p w14:paraId="4B1A74AB">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（逆向指标）</w:t>
            </w:r>
          </w:p>
        </w:tc>
        <w:tc>
          <w:tcPr>
            <w:tcW w:w="709" w:type="dxa"/>
            <w:vAlign w:val="center"/>
          </w:tcPr>
          <w:p w14:paraId="50FA9F3C">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5</w:t>
            </w:r>
          </w:p>
        </w:tc>
        <w:tc>
          <w:tcPr>
            <w:tcW w:w="2551" w:type="dxa"/>
            <w:vMerge w:val="continue"/>
            <w:vAlign w:val="center"/>
          </w:tcPr>
          <w:p w14:paraId="39BB95D7">
            <w:pPr>
              <w:jc w:val="left"/>
              <w:rPr>
                <w:rFonts w:hint="default" w:ascii="Times New Roman" w:hAnsi="Times New Roman" w:eastAsia="仿宋" w:cs="Times New Roman"/>
                <w:kern w:val="0"/>
                <w:sz w:val="24"/>
                <w:szCs w:val="20"/>
              </w:rPr>
            </w:pPr>
          </w:p>
        </w:tc>
        <w:tc>
          <w:tcPr>
            <w:tcW w:w="1134" w:type="dxa"/>
          </w:tcPr>
          <w:p w14:paraId="1F3C4AF9">
            <w:pPr>
              <w:jc w:val="left"/>
              <w:rPr>
                <w:rFonts w:hint="default" w:ascii="Times New Roman" w:hAnsi="Times New Roman" w:eastAsia="仿宋" w:cs="Times New Roman"/>
                <w:kern w:val="0"/>
                <w:sz w:val="24"/>
                <w:szCs w:val="20"/>
              </w:rPr>
            </w:pPr>
          </w:p>
        </w:tc>
      </w:tr>
      <w:tr w14:paraId="30EC3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vAlign w:val="center"/>
          </w:tcPr>
          <w:p w14:paraId="284DD4DB">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4</w:t>
            </w:r>
          </w:p>
        </w:tc>
        <w:tc>
          <w:tcPr>
            <w:tcW w:w="709" w:type="dxa"/>
            <w:vMerge w:val="continue"/>
            <w:vAlign w:val="center"/>
          </w:tcPr>
          <w:p w14:paraId="4CEB8BE2">
            <w:pPr>
              <w:jc w:val="center"/>
              <w:rPr>
                <w:rFonts w:hint="default" w:ascii="Times New Roman" w:hAnsi="Times New Roman" w:eastAsia="仿宋" w:cs="Times New Roman"/>
                <w:kern w:val="0"/>
                <w:sz w:val="24"/>
                <w:szCs w:val="20"/>
              </w:rPr>
            </w:pPr>
          </w:p>
        </w:tc>
        <w:tc>
          <w:tcPr>
            <w:tcW w:w="2977" w:type="dxa"/>
            <w:vAlign w:val="center"/>
          </w:tcPr>
          <w:p w14:paraId="681981C9">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2025年总行拨备覆盖率</w:t>
            </w:r>
          </w:p>
          <w:p w14:paraId="3594D87B">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（顺向指标）</w:t>
            </w:r>
          </w:p>
        </w:tc>
        <w:tc>
          <w:tcPr>
            <w:tcW w:w="709" w:type="dxa"/>
            <w:vAlign w:val="center"/>
          </w:tcPr>
          <w:p w14:paraId="2A41C612">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5</w:t>
            </w:r>
          </w:p>
        </w:tc>
        <w:tc>
          <w:tcPr>
            <w:tcW w:w="2551" w:type="dxa"/>
            <w:vMerge w:val="continue"/>
            <w:vAlign w:val="center"/>
          </w:tcPr>
          <w:p w14:paraId="38585CC8">
            <w:pPr>
              <w:jc w:val="left"/>
              <w:rPr>
                <w:rFonts w:hint="default" w:ascii="Times New Roman" w:hAnsi="Times New Roman" w:eastAsia="仿宋" w:cs="Times New Roman"/>
                <w:kern w:val="0"/>
                <w:sz w:val="24"/>
                <w:szCs w:val="20"/>
              </w:rPr>
            </w:pPr>
          </w:p>
        </w:tc>
        <w:tc>
          <w:tcPr>
            <w:tcW w:w="1134" w:type="dxa"/>
          </w:tcPr>
          <w:p w14:paraId="27C8B35E">
            <w:pPr>
              <w:jc w:val="left"/>
              <w:rPr>
                <w:rFonts w:hint="default" w:ascii="Times New Roman" w:hAnsi="Times New Roman" w:eastAsia="仿宋" w:cs="Times New Roman"/>
                <w:kern w:val="0"/>
                <w:sz w:val="24"/>
                <w:szCs w:val="20"/>
              </w:rPr>
            </w:pPr>
          </w:p>
        </w:tc>
      </w:tr>
      <w:tr w14:paraId="5116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vAlign w:val="center"/>
          </w:tcPr>
          <w:p w14:paraId="725FDD38">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5</w:t>
            </w:r>
          </w:p>
        </w:tc>
        <w:tc>
          <w:tcPr>
            <w:tcW w:w="709" w:type="dxa"/>
            <w:vMerge w:val="continue"/>
            <w:vAlign w:val="center"/>
          </w:tcPr>
          <w:p w14:paraId="62B6A766">
            <w:pPr>
              <w:jc w:val="center"/>
              <w:rPr>
                <w:rFonts w:hint="default" w:ascii="Times New Roman" w:hAnsi="Times New Roman" w:eastAsia="仿宋" w:cs="Times New Roman"/>
                <w:kern w:val="0"/>
                <w:sz w:val="24"/>
                <w:szCs w:val="20"/>
              </w:rPr>
            </w:pPr>
          </w:p>
        </w:tc>
        <w:tc>
          <w:tcPr>
            <w:tcW w:w="2977" w:type="dxa"/>
            <w:vAlign w:val="center"/>
          </w:tcPr>
          <w:p w14:paraId="758CB898">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2025年总行流动性覆盖率</w:t>
            </w:r>
          </w:p>
          <w:p w14:paraId="3292A5F1">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（顺向指标）</w:t>
            </w:r>
          </w:p>
        </w:tc>
        <w:tc>
          <w:tcPr>
            <w:tcW w:w="709" w:type="dxa"/>
            <w:vAlign w:val="center"/>
          </w:tcPr>
          <w:p w14:paraId="3EF4D8CE">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5</w:t>
            </w:r>
          </w:p>
        </w:tc>
        <w:tc>
          <w:tcPr>
            <w:tcW w:w="2551" w:type="dxa"/>
            <w:vMerge w:val="continue"/>
            <w:vAlign w:val="center"/>
          </w:tcPr>
          <w:p w14:paraId="522E30E6">
            <w:pPr>
              <w:jc w:val="left"/>
              <w:rPr>
                <w:rFonts w:hint="default" w:ascii="Times New Roman" w:hAnsi="Times New Roman" w:eastAsia="仿宋" w:cs="Times New Roman"/>
                <w:kern w:val="0"/>
                <w:sz w:val="24"/>
                <w:szCs w:val="20"/>
              </w:rPr>
            </w:pPr>
          </w:p>
        </w:tc>
        <w:tc>
          <w:tcPr>
            <w:tcW w:w="1134" w:type="dxa"/>
          </w:tcPr>
          <w:p w14:paraId="6881C178">
            <w:pPr>
              <w:jc w:val="left"/>
              <w:rPr>
                <w:rFonts w:hint="default" w:ascii="Times New Roman" w:hAnsi="Times New Roman" w:eastAsia="仿宋" w:cs="Times New Roman"/>
                <w:kern w:val="0"/>
                <w:sz w:val="24"/>
                <w:szCs w:val="20"/>
              </w:rPr>
            </w:pPr>
          </w:p>
        </w:tc>
      </w:tr>
      <w:tr w14:paraId="0DBB7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vAlign w:val="center"/>
          </w:tcPr>
          <w:p w14:paraId="72EEBB60">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6</w:t>
            </w:r>
          </w:p>
        </w:tc>
        <w:tc>
          <w:tcPr>
            <w:tcW w:w="709" w:type="dxa"/>
            <w:vMerge w:val="continue"/>
            <w:vAlign w:val="center"/>
          </w:tcPr>
          <w:p w14:paraId="4B974796">
            <w:pPr>
              <w:jc w:val="center"/>
              <w:rPr>
                <w:rFonts w:hint="default" w:ascii="Times New Roman" w:hAnsi="Times New Roman" w:eastAsia="仿宋" w:cs="Times New Roman"/>
                <w:kern w:val="0"/>
                <w:sz w:val="24"/>
                <w:szCs w:val="20"/>
              </w:rPr>
            </w:pPr>
          </w:p>
        </w:tc>
        <w:tc>
          <w:tcPr>
            <w:tcW w:w="2977" w:type="dxa"/>
            <w:vAlign w:val="center"/>
          </w:tcPr>
          <w:p w14:paraId="39A9B9C1">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2025年总行流动性比例</w:t>
            </w:r>
          </w:p>
          <w:p w14:paraId="3F48037F">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（顺向指标）</w:t>
            </w:r>
          </w:p>
        </w:tc>
        <w:tc>
          <w:tcPr>
            <w:tcW w:w="709" w:type="dxa"/>
            <w:vAlign w:val="center"/>
          </w:tcPr>
          <w:p w14:paraId="48BAE592">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5</w:t>
            </w:r>
          </w:p>
        </w:tc>
        <w:tc>
          <w:tcPr>
            <w:tcW w:w="2551" w:type="dxa"/>
            <w:vMerge w:val="continue"/>
            <w:vAlign w:val="center"/>
          </w:tcPr>
          <w:p w14:paraId="4505E1FD">
            <w:pPr>
              <w:jc w:val="left"/>
              <w:rPr>
                <w:rFonts w:hint="default" w:ascii="Times New Roman" w:hAnsi="Times New Roman" w:eastAsia="仿宋" w:cs="Times New Roman"/>
                <w:kern w:val="0"/>
                <w:sz w:val="24"/>
                <w:szCs w:val="20"/>
              </w:rPr>
            </w:pPr>
          </w:p>
        </w:tc>
        <w:tc>
          <w:tcPr>
            <w:tcW w:w="1134" w:type="dxa"/>
          </w:tcPr>
          <w:p w14:paraId="64689A2C">
            <w:pPr>
              <w:jc w:val="left"/>
              <w:rPr>
                <w:rFonts w:hint="default" w:ascii="Times New Roman" w:hAnsi="Times New Roman" w:eastAsia="仿宋" w:cs="Times New Roman"/>
                <w:kern w:val="0"/>
                <w:sz w:val="24"/>
                <w:szCs w:val="20"/>
              </w:rPr>
            </w:pPr>
          </w:p>
        </w:tc>
      </w:tr>
      <w:tr w14:paraId="13BE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716" w:type="dxa"/>
            <w:vAlign w:val="center"/>
          </w:tcPr>
          <w:p w14:paraId="6C3043F7">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7</w:t>
            </w:r>
          </w:p>
        </w:tc>
        <w:tc>
          <w:tcPr>
            <w:tcW w:w="709" w:type="dxa"/>
            <w:vMerge w:val="continue"/>
            <w:vAlign w:val="center"/>
          </w:tcPr>
          <w:p w14:paraId="12AC443C">
            <w:pPr>
              <w:jc w:val="center"/>
              <w:rPr>
                <w:rFonts w:hint="default" w:ascii="Times New Roman" w:hAnsi="Times New Roman" w:eastAsia="仿宋" w:cs="Times New Roman"/>
                <w:kern w:val="0"/>
                <w:sz w:val="24"/>
                <w:szCs w:val="20"/>
              </w:rPr>
            </w:pPr>
          </w:p>
        </w:tc>
        <w:tc>
          <w:tcPr>
            <w:tcW w:w="2977" w:type="dxa"/>
            <w:vAlign w:val="center"/>
          </w:tcPr>
          <w:p w14:paraId="3C4410A8">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2025年度综合评价指标</w:t>
            </w:r>
          </w:p>
          <w:p w14:paraId="1A3FCCFB">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（顺向指标）</w:t>
            </w:r>
          </w:p>
        </w:tc>
        <w:tc>
          <w:tcPr>
            <w:tcW w:w="709" w:type="dxa"/>
            <w:vAlign w:val="center"/>
          </w:tcPr>
          <w:p w14:paraId="1CA78BC2">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20</w:t>
            </w:r>
          </w:p>
        </w:tc>
        <w:tc>
          <w:tcPr>
            <w:tcW w:w="2551" w:type="dxa"/>
            <w:vAlign w:val="center"/>
          </w:tcPr>
          <w:p w14:paraId="62A94B65">
            <w:pPr>
              <w:jc w:val="left"/>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根据人行对商业银行2025年综合评分为依据。综合评价达到A级得20分，B级得10分，C级及以下的得0分。</w:t>
            </w:r>
          </w:p>
        </w:tc>
        <w:tc>
          <w:tcPr>
            <w:tcW w:w="1134" w:type="dxa"/>
          </w:tcPr>
          <w:p w14:paraId="4B2B77EF">
            <w:pPr>
              <w:jc w:val="left"/>
              <w:rPr>
                <w:rFonts w:hint="default" w:ascii="Times New Roman" w:hAnsi="Times New Roman" w:eastAsia="仿宋" w:cs="Times New Roman"/>
                <w:kern w:val="0"/>
                <w:sz w:val="24"/>
                <w:szCs w:val="20"/>
              </w:rPr>
            </w:pPr>
          </w:p>
        </w:tc>
      </w:tr>
      <w:tr w14:paraId="690E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16" w:type="dxa"/>
            <w:vAlign w:val="center"/>
          </w:tcPr>
          <w:p w14:paraId="0657670E">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8</w:t>
            </w:r>
          </w:p>
        </w:tc>
        <w:tc>
          <w:tcPr>
            <w:tcW w:w="709" w:type="dxa"/>
            <w:vMerge w:val="restart"/>
            <w:vAlign w:val="center"/>
          </w:tcPr>
          <w:p w14:paraId="621925CD">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服务水平指标（40分）</w:t>
            </w:r>
          </w:p>
        </w:tc>
        <w:tc>
          <w:tcPr>
            <w:tcW w:w="2977" w:type="dxa"/>
            <w:vAlign w:val="center"/>
          </w:tcPr>
          <w:p w14:paraId="721D915B">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支付结算能力</w:t>
            </w:r>
          </w:p>
        </w:tc>
        <w:tc>
          <w:tcPr>
            <w:tcW w:w="709" w:type="dxa"/>
            <w:vAlign w:val="center"/>
          </w:tcPr>
          <w:p w14:paraId="735E38CE">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20</w:t>
            </w:r>
          </w:p>
        </w:tc>
        <w:tc>
          <w:tcPr>
            <w:tcW w:w="2551" w:type="dxa"/>
            <w:vAlign w:val="center"/>
          </w:tcPr>
          <w:p w14:paraId="00B634A5">
            <w:pPr>
              <w:jc w:val="left"/>
              <w:rPr>
                <w:rFonts w:hint="default" w:ascii="Times New Roman" w:hAnsi="Times New Roman" w:eastAsia="仿宋" w:cs="Times New Roman"/>
                <w:kern w:val="0"/>
                <w:sz w:val="24"/>
                <w:szCs w:val="20"/>
              </w:rPr>
            </w:pPr>
            <w:r>
              <w:rPr>
                <w:rFonts w:ascii="Times New Roman" w:hAnsi="Times New Roman" w:eastAsia="仿宋" w:cs="Times New Roman"/>
                <w:kern w:val="0"/>
                <w:sz w:val="24"/>
                <w:szCs w:val="20"/>
              </w:rPr>
              <w:t>服务措施合理可行，办理资金支付结算服务规范、及时、安全、准确：第一档得</w:t>
            </w:r>
            <w:r>
              <w:rPr>
                <w:rFonts w:hint="default" w:ascii="Times New Roman" w:hAnsi="Times New Roman" w:eastAsia="仿宋" w:cs="Times New Roman"/>
                <w:kern w:val="0"/>
                <w:sz w:val="24"/>
                <w:szCs w:val="20"/>
              </w:rPr>
              <w:t>15</w:t>
            </w:r>
            <w:r>
              <w:rPr>
                <w:rFonts w:ascii="Times New Roman" w:hAnsi="Times New Roman" w:eastAsia="仿宋" w:cs="Times New Roman"/>
                <w:kern w:val="0"/>
                <w:sz w:val="24"/>
                <w:szCs w:val="20"/>
              </w:rPr>
              <w:t>—</w:t>
            </w:r>
            <w:r>
              <w:rPr>
                <w:rFonts w:hint="default" w:ascii="Times New Roman" w:hAnsi="Times New Roman" w:eastAsia="仿宋" w:cs="Times New Roman"/>
                <w:kern w:val="0"/>
                <w:sz w:val="24"/>
                <w:szCs w:val="20"/>
              </w:rPr>
              <w:t>20</w:t>
            </w:r>
            <w:r>
              <w:rPr>
                <w:rFonts w:ascii="Times New Roman" w:hAnsi="Times New Roman" w:eastAsia="仿宋" w:cs="Times New Roman"/>
                <w:kern w:val="0"/>
                <w:sz w:val="24"/>
                <w:szCs w:val="20"/>
              </w:rPr>
              <w:t>分；第二档得</w:t>
            </w:r>
            <w:r>
              <w:rPr>
                <w:rFonts w:hint="default" w:ascii="Times New Roman" w:hAnsi="Times New Roman" w:eastAsia="仿宋" w:cs="Times New Roman"/>
                <w:kern w:val="0"/>
                <w:sz w:val="24"/>
                <w:szCs w:val="20"/>
              </w:rPr>
              <w:t>9</w:t>
            </w:r>
            <w:r>
              <w:rPr>
                <w:rFonts w:ascii="Times New Roman" w:hAnsi="Times New Roman" w:eastAsia="仿宋" w:cs="Times New Roman"/>
                <w:kern w:val="0"/>
                <w:sz w:val="24"/>
                <w:szCs w:val="20"/>
              </w:rPr>
              <w:t>—</w:t>
            </w:r>
            <w:r>
              <w:rPr>
                <w:rFonts w:hint="default" w:ascii="Times New Roman" w:hAnsi="Times New Roman" w:eastAsia="仿宋" w:cs="Times New Roman"/>
                <w:kern w:val="0"/>
                <w:sz w:val="24"/>
                <w:szCs w:val="20"/>
              </w:rPr>
              <w:t>14</w:t>
            </w:r>
            <w:r>
              <w:rPr>
                <w:rFonts w:ascii="Times New Roman" w:hAnsi="Times New Roman" w:eastAsia="仿宋" w:cs="Times New Roman"/>
                <w:kern w:val="0"/>
                <w:sz w:val="24"/>
                <w:szCs w:val="20"/>
              </w:rPr>
              <w:t>分；第三档得0—</w:t>
            </w:r>
            <w:r>
              <w:rPr>
                <w:rFonts w:hint="default" w:ascii="Times New Roman" w:hAnsi="Times New Roman" w:eastAsia="仿宋" w:cs="Times New Roman"/>
                <w:kern w:val="0"/>
                <w:sz w:val="24"/>
                <w:szCs w:val="20"/>
              </w:rPr>
              <w:t>8</w:t>
            </w:r>
            <w:r>
              <w:rPr>
                <w:rFonts w:ascii="Times New Roman" w:hAnsi="Times New Roman" w:eastAsia="仿宋" w:cs="Times New Roman"/>
                <w:kern w:val="0"/>
                <w:sz w:val="24"/>
                <w:szCs w:val="20"/>
              </w:rPr>
              <w:t>分</w:t>
            </w:r>
          </w:p>
        </w:tc>
        <w:tc>
          <w:tcPr>
            <w:tcW w:w="1134" w:type="dxa"/>
          </w:tcPr>
          <w:p w14:paraId="1B394EDA">
            <w:pPr>
              <w:jc w:val="left"/>
              <w:rPr>
                <w:rFonts w:hint="default" w:ascii="Times New Roman" w:hAnsi="Times New Roman" w:eastAsia="仿宋" w:cs="Times New Roman"/>
                <w:kern w:val="0"/>
                <w:sz w:val="24"/>
                <w:szCs w:val="20"/>
              </w:rPr>
            </w:pPr>
          </w:p>
        </w:tc>
      </w:tr>
      <w:tr w14:paraId="1434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16" w:type="dxa"/>
            <w:vAlign w:val="center"/>
          </w:tcPr>
          <w:p w14:paraId="37AC44FD">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9</w:t>
            </w:r>
          </w:p>
        </w:tc>
        <w:tc>
          <w:tcPr>
            <w:tcW w:w="709" w:type="dxa"/>
            <w:vMerge w:val="continue"/>
            <w:vAlign w:val="center"/>
          </w:tcPr>
          <w:p w14:paraId="66DF8289">
            <w:pPr>
              <w:jc w:val="center"/>
              <w:rPr>
                <w:rFonts w:hint="default" w:ascii="Times New Roman" w:hAnsi="Times New Roman" w:eastAsia="仿宋" w:cs="Times New Roman"/>
                <w:kern w:val="0"/>
                <w:sz w:val="24"/>
                <w:szCs w:val="20"/>
              </w:rPr>
            </w:pPr>
          </w:p>
        </w:tc>
        <w:tc>
          <w:tcPr>
            <w:tcW w:w="2977" w:type="dxa"/>
            <w:vAlign w:val="center"/>
          </w:tcPr>
          <w:p w14:paraId="279FBFCD">
            <w:pPr>
              <w:jc w:val="center"/>
              <w:rPr>
                <w:rFonts w:hint="default" w:ascii="Times New Roman" w:hAnsi="Times New Roman" w:eastAsia="仿宋" w:cs="Times New Roman"/>
                <w:kern w:val="0"/>
                <w:sz w:val="24"/>
                <w:szCs w:val="20"/>
              </w:rPr>
            </w:pPr>
            <w:r>
              <w:rPr>
                <w:rFonts w:ascii="Times New Roman" w:hAnsi="Times New Roman" w:eastAsia="仿宋" w:cs="Times New Roman"/>
                <w:kern w:val="0"/>
                <w:sz w:val="24"/>
                <w:szCs w:val="20"/>
              </w:rPr>
              <w:t>对账服务能力</w:t>
            </w:r>
          </w:p>
        </w:tc>
        <w:tc>
          <w:tcPr>
            <w:tcW w:w="709" w:type="dxa"/>
            <w:vAlign w:val="center"/>
          </w:tcPr>
          <w:p w14:paraId="368DE2E1">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10</w:t>
            </w:r>
          </w:p>
        </w:tc>
        <w:tc>
          <w:tcPr>
            <w:tcW w:w="2551" w:type="dxa"/>
            <w:vAlign w:val="center"/>
          </w:tcPr>
          <w:p w14:paraId="7C45AF8C">
            <w:pPr>
              <w:jc w:val="left"/>
              <w:rPr>
                <w:rFonts w:hint="default" w:ascii="Times New Roman" w:hAnsi="Times New Roman" w:eastAsia="仿宋" w:cs="Times New Roman"/>
                <w:kern w:val="0"/>
                <w:sz w:val="24"/>
                <w:szCs w:val="20"/>
              </w:rPr>
            </w:pPr>
            <w:r>
              <w:rPr>
                <w:rFonts w:ascii="Times New Roman" w:hAnsi="Times New Roman" w:eastAsia="仿宋" w:cs="Times New Roman"/>
                <w:kern w:val="0"/>
                <w:sz w:val="24"/>
                <w:szCs w:val="20"/>
              </w:rPr>
              <w:t>对账服务措施合理可行，对账及时性高、准确性高：第一档得</w:t>
            </w:r>
            <w:r>
              <w:rPr>
                <w:rFonts w:hint="default" w:ascii="Times New Roman" w:hAnsi="Times New Roman" w:eastAsia="仿宋" w:cs="Times New Roman"/>
                <w:kern w:val="0"/>
                <w:sz w:val="24"/>
                <w:szCs w:val="20"/>
              </w:rPr>
              <w:t>8</w:t>
            </w:r>
            <w:r>
              <w:rPr>
                <w:rFonts w:ascii="Times New Roman" w:hAnsi="Times New Roman" w:eastAsia="仿宋" w:cs="Times New Roman"/>
                <w:kern w:val="0"/>
                <w:sz w:val="24"/>
                <w:szCs w:val="20"/>
              </w:rPr>
              <w:t>—</w:t>
            </w:r>
            <w:r>
              <w:rPr>
                <w:rFonts w:hint="default" w:ascii="Times New Roman" w:hAnsi="Times New Roman" w:eastAsia="仿宋" w:cs="Times New Roman"/>
                <w:kern w:val="0"/>
                <w:sz w:val="24"/>
                <w:szCs w:val="20"/>
              </w:rPr>
              <w:t>10</w:t>
            </w:r>
            <w:r>
              <w:rPr>
                <w:rFonts w:ascii="Times New Roman" w:hAnsi="Times New Roman" w:eastAsia="仿宋" w:cs="Times New Roman"/>
                <w:kern w:val="0"/>
                <w:sz w:val="24"/>
                <w:szCs w:val="20"/>
              </w:rPr>
              <w:t>分；第二档得</w:t>
            </w:r>
            <w:r>
              <w:rPr>
                <w:rFonts w:hint="default" w:ascii="Times New Roman" w:hAnsi="Times New Roman" w:eastAsia="仿宋" w:cs="Times New Roman"/>
                <w:kern w:val="0"/>
                <w:sz w:val="24"/>
                <w:szCs w:val="20"/>
              </w:rPr>
              <w:t>4</w:t>
            </w:r>
            <w:r>
              <w:rPr>
                <w:rFonts w:ascii="Times New Roman" w:hAnsi="Times New Roman" w:eastAsia="仿宋" w:cs="Times New Roman"/>
                <w:kern w:val="0"/>
                <w:sz w:val="24"/>
                <w:szCs w:val="20"/>
              </w:rPr>
              <w:t>—</w:t>
            </w:r>
            <w:r>
              <w:rPr>
                <w:rFonts w:hint="default" w:ascii="Times New Roman" w:hAnsi="Times New Roman" w:eastAsia="仿宋" w:cs="Times New Roman"/>
                <w:kern w:val="0"/>
                <w:sz w:val="24"/>
                <w:szCs w:val="20"/>
              </w:rPr>
              <w:t>7</w:t>
            </w:r>
            <w:r>
              <w:rPr>
                <w:rFonts w:ascii="Times New Roman" w:hAnsi="Times New Roman" w:eastAsia="仿宋" w:cs="Times New Roman"/>
                <w:kern w:val="0"/>
                <w:sz w:val="24"/>
                <w:szCs w:val="20"/>
              </w:rPr>
              <w:t>分；第三档得0—</w:t>
            </w:r>
            <w:r>
              <w:rPr>
                <w:rFonts w:hint="default" w:ascii="Times New Roman" w:hAnsi="Times New Roman" w:eastAsia="仿宋" w:cs="Times New Roman"/>
                <w:kern w:val="0"/>
                <w:sz w:val="24"/>
                <w:szCs w:val="20"/>
              </w:rPr>
              <w:t>3</w:t>
            </w:r>
            <w:r>
              <w:rPr>
                <w:rFonts w:ascii="Times New Roman" w:hAnsi="Times New Roman" w:eastAsia="仿宋" w:cs="Times New Roman"/>
                <w:kern w:val="0"/>
                <w:sz w:val="24"/>
                <w:szCs w:val="20"/>
              </w:rPr>
              <w:t>分</w:t>
            </w:r>
          </w:p>
        </w:tc>
        <w:tc>
          <w:tcPr>
            <w:tcW w:w="1134" w:type="dxa"/>
          </w:tcPr>
          <w:p w14:paraId="186C7796">
            <w:pPr>
              <w:jc w:val="left"/>
              <w:rPr>
                <w:rFonts w:hint="default" w:ascii="Times New Roman" w:hAnsi="Times New Roman" w:eastAsia="仿宋" w:cs="Times New Roman"/>
                <w:kern w:val="0"/>
                <w:sz w:val="24"/>
                <w:szCs w:val="20"/>
              </w:rPr>
            </w:pPr>
          </w:p>
        </w:tc>
      </w:tr>
      <w:tr w14:paraId="7D9D7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16" w:type="dxa"/>
            <w:vAlign w:val="center"/>
          </w:tcPr>
          <w:p w14:paraId="10C2C906">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10</w:t>
            </w:r>
          </w:p>
        </w:tc>
        <w:tc>
          <w:tcPr>
            <w:tcW w:w="709" w:type="dxa"/>
            <w:vMerge w:val="continue"/>
            <w:vAlign w:val="center"/>
          </w:tcPr>
          <w:p w14:paraId="1BA69F09">
            <w:pPr>
              <w:jc w:val="center"/>
              <w:rPr>
                <w:rFonts w:hint="default" w:ascii="Times New Roman" w:hAnsi="Times New Roman" w:eastAsia="仿宋" w:cs="Times New Roman"/>
                <w:kern w:val="0"/>
                <w:sz w:val="24"/>
                <w:szCs w:val="20"/>
              </w:rPr>
            </w:pPr>
          </w:p>
        </w:tc>
        <w:tc>
          <w:tcPr>
            <w:tcW w:w="2977" w:type="dxa"/>
            <w:vAlign w:val="center"/>
          </w:tcPr>
          <w:p w14:paraId="622FCF8E">
            <w:pPr>
              <w:jc w:val="center"/>
              <w:rPr>
                <w:rFonts w:hint="default" w:ascii="Times New Roman" w:hAnsi="Times New Roman" w:eastAsia="仿宋" w:cs="Times New Roman"/>
                <w:kern w:val="0"/>
                <w:sz w:val="24"/>
                <w:szCs w:val="20"/>
              </w:rPr>
            </w:pPr>
            <w:r>
              <w:rPr>
                <w:rFonts w:ascii="Times New Roman" w:hAnsi="Times New Roman" w:eastAsia="仿宋" w:cs="Times New Roman"/>
                <w:kern w:val="0"/>
                <w:sz w:val="24"/>
                <w:szCs w:val="20"/>
              </w:rPr>
              <w:t>综合服务方案</w:t>
            </w:r>
          </w:p>
        </w:tc>
        <w:tc>
          <w:tcPr>
            <w:tcW w:w="709" w:type="dxa"/>
            <w:vAlign w:val="center"/>
          </w:tcPr>
          <w:p w14:paraId="5F3A7461">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10</w:t>
            </w:r>
          </w:p>
        </w:tc>
        <w:tc>
          <w:tcPr>
            <w:tcW w:w="2551" w:type="dxa"/>
            <w:vAlign w:val="center"/>
          </w:tcPr>
          <w:p w14:paraId="608FA413">
            <w:pPr>
              <w:jc w:val="left"/>
              <w:rPr>
                <w:rFonts w:hint="default" w:ascii="Times New Roman" w:hAnsi="Times New Roman" w:eastAsia="仿宋" w:cs="Times New Roman"/>
                <w:kern w:val="0"/>
                <w:sz w:val="24"/>
                <w:szCs w:val="20"/>
              </w:rPr>
            </w:pPr>
            <w:r>
              <w:rPr>
                <w:rFonts w:ascii="Times New Roman" w:hAnsi="Times New Roman" w:eastAsia="仿宋" w:cs="Times New Roman"/>
                <w:kern w:val="0"/>
                <w:sz w:val="24"/>
                <w:szCs w:val="20"/>
              </w:rPr>
              <w:t>针对基建项目资金管理需求提供个性化服务方案，方案完整、可行性强得</w:t>
            </w:r>
            <w:r>
              <w:rPr>
                <w:rFonts w:hint="default" w:ascii="Times New Roman" w:hAnsi="Times New Roman" w:eastAsia="仿宋" w:cs="Times New Roman"/>
                <w:kern w:val="0"/>
                <w:sz w:val="24"/>
                <w:szCs w:val="20"/>
              </w:rPr>
              <w:t>10</w:t>
            </w:r>
            <w:r>
              <w:rPr>
                <w:rFonts w:ascii="Times New Roman" w:hAnsi="Times New Roman" w:eastAsia="仿宋" w:cs="Times New Roman"/>
                <w:kern w:val="0"/>
                <w:sz w:val="24"/>
                <w:szCs w:val="20"/>
              </w:rPr>
              <w:t>分；方案较完整得</w:t>
            </w:r>
            <w:r>
              <w:rPr>
                <w:rFonts w:hint="default" w:ascii="Times New Roman" w:hAnsi="Times New Roman" w:eastAsia="仿宋" w:cs="Times New Roman"/>
                <w:kern w:val="0"/>
                <w:sz w:val="24"/>
                <w:szCs w:val="20"/>
              </w:rPr>
              <w:t>6</w:t>
            </w:r>
            <w:r>
              <w:rPr>
                <w:rFonts w:ascii="Times New Roman" w:hAnsi="Times New Roman" w:eastAsia="仿宋" w:cs="Times New Roman"/>
                <w:kern w:val="0"/>
                <w:sz w:val="24"/>
                <w:szCs w:val="20"/>
              </w:rPr>
              <w:t>分；方案一般得</w:t>
            </w:r>
            <w:r>
              <w:rPr>
                <w:rFonts w:hint="default" w:ascii="Times New Roman" w:hAnsi="Times New Roman" w:eastAsia="仿宋" w:cs="Times New Roman"/>
                <w:kern w:val="0"/>
                <w:sz w:val="24"/>
                <w:szCs w:val="20"/>
              </w:rPr>
              <w:t>2</w:t>
            </w:r>
            <w:r>
              <w:rPr>
                <w:rFonts w:ascii="Times New Roman" w:hAnsi="Times New Roman" w:eastAsia="仿宋" w:cs="Times New Roman"/>
                <w:kern w:val="0"/>
                <w:sz w:val="24"/>
                <w:szCs w:val="20"/>
              </w:rPr>
              <w:t>分；未提供不得分</w:t>
            </w:r>
          </w:p>
        </w:tc>
        <w:tc>
          <w:tcPr>
            <w:tcW w:w="1134" w:type="dxa"/>
          </w:tcPr>
          <w:p w14:paraId="019649E4">
            <w:pPr>
              <w:jc w:val="left"/>
              <w:rPr>
                <w:rFonts w:hint="default" w:ascii="Times New Roman" w:hAnsi="Times New Roman" w:eastAsia="仿宋" w:cs="Times New Roman"/>
                <w:kern w:val="0"/>
                <w:sz w:val="24"/>
                <w:szCs w:val="20"/>
              </w:rPr>
            </w:pPr>
          </w:p>
        </w:tc>
      </w:tr>
      <w:tr w14:paraId="7D3C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atLeast"/>
        </w:trPr>
        <w:tc>
          <w:tcPr>
            <w:tcW w:w="716" w:type="dxa"/>
            <w:vAlign w:val="center"/>
          </w:tcPr>
          <w:p w14:paraId="0B5D6175">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11</w:t>
            </w:r>
          </w:p>
        </w:tc>
        <w:tc>
          <w:tcPr>
            <w:tcW w:w="709" w:type="dxa"/>
            <w:vAlign w:val="center"/>
          </w:tcPr>
          <w:p w14:paraId="18706BB8">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利率水平指标（10分）</w:t>
            </w:r>
          </w:p>
        </w:tc>
        <w:tc>
          <w:tcPr>
            <w:tcW w:w="2977" w:type="dxa"/>
            <w:vAlign w:val="center"/>
          </w:tcPr>
          <w:p w14:paraId="7B0AA24C">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利率水平方面</w:t>
            </w:r>
          </w:p>
        </w:tc>
        <w:tc>
          <w:tcPr>
            <w:tcW w:w="709" w:type="dxa"/>
            <w:vAlign w:val="center"/>
          </w:tcPr>
          <w:p w14:paraId="62013C9C">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10</w:t>
            </w:r>
          </w:p>
        </w:tc>
        <w:tc>
          <w:tcPr>
            <w:tcW w:w="2551" w:type="dxa"/>
            <w:vAlign w:val="center"/>
          </w:tcPr>
          <w:p w14:paraId="647F2860">
            <w:pPr>
              <w:jc w:val="left"/>
              <w:rPr>
                <w:rFonts w:hint="default" w:ascii="Times New Roman" w:hAnsi="Times New Roman" w:eastAsia="仿宋" w:cs="Times New Roman"/>
                <w:kern w:val="0"/>
                <w:sz w:val="24"/>
                <w:szCs w:val="20"/>
              </w:rPr>
            </w:pPr>
            <w:r>
              <w:rPr>
                <w:rFonts w:ascii="Times New Roman" w:hAnsi="Times New Roman" w:eastAsia="仿宋" w:cs="Times New Roman"/>
                <w:kern w:val="0"/>
                <w:sz w:val="24"/>
                <w:szCs w:val="20"/>
              </w:rPr>
              <w:t>承诺利率完全符合国家利率政策规定及市场利率定价自律机制约定范围，且提供明确政策依据的，得</w:t>
            </w:r>
            <w:r>
              <w:rPr>
                <w:rFonts w:hint="default" w:ascii="Times New Roman" w:hAnsi="Times New Roman" w:eastAsia="仿宋" w:cs="Times New Roman"/>
                <w:kern w:val="0"/>
                <w:sz w:val="24"/>
                <w:szCs w:val="20"/>
              </w:rPr>
              <w:t>10</w:t>
            </w:r>
            <w:r>
              <w:rPr>
                <w:rFonts w:ascii="Times New Roman" w:hAnsi="Times New Roman" w:eastAsia="仿宋" w:cs="Times New Roman"/>
                <w:kern w:val="0"/>
                <w:sz w:val="24"/>
                <w:szCs w:val="20"/>
              </w:rPr>
              <w:t>分；基本符合但政策依据不充分的，得</w:t>
            </w:r>
            <w:r>
              <w:rPr>
                <w:rFonts w:hint="default" w:ascii="Times New Roman" w:hAnsi="Times New Roman" w:eastAsia="仿宋" w:cs="Times New Roman"/>
                <w:kern w:val="0"/>
                <w:sz w:val="24"/>
                <w:szCs w:val="20"/>
              </w:rPr>
              <w:t>5</w:t>
            </w:r>
            <w:r>
              <w:rPr>
                <w:rFonts w:ascii="Times New Roman" w:hAnsi="Times New Roman" w:eastAsia="仿宋" w:cs="Times New Roman"/>
                <w:kern w:val="0"/>
                <w:sz w:val="24"/>
                <w:szCs w:val="20"/>
              </w:rPr>
              <w:t>分；存在不符合自律机制风险的，得0分</w:t>
            </w:r>
          </w:p>
        </w:tc>
        <w:tc>
          <w:tcPr>
            <w:tcW w:w="1134" w:type="dxa"/>
          </w:tcPr>
          <w:p w14:paraId="1D2AE811">
            <w:pPr>
              <w:jc w:val="left"/>
              <w:rPr>
                <w:rFonts w:hint="default" w:ascii="Times New Roman" w:hAnsi="Times New Roman" w:eastAsia="仿宋" w:cs="Times New Roman"/>
                <w:kern w:val="0"/>
                <w:sz w:val="24"/>
                <w:szCs w:val="20"/>
              </w:rPr>
            </w:pPr>
          </w:p>
        </w:tc>
      </w:tr>
      <w:tr w14:paraId="3C636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vAlign w:val="center"/>
          </w:tcPr>
          <w:p w14:paraId="246F5750">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合计</w:t>
            </w:r>
          </w:p>
        </w:tc>
        <w:tc>
          <w:tcPr>
            <w:tcW w:w="709" w:type="dxa"/>
            <w:vAlign w:val="center"/>
          </w:tcPr>
          <w:p w14:paraId="5E754FE2">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100</w:t>
            </w:r>
          </w:p>
        </w:tc>
        <w:tc>
          <w:tcPr>
            <w:tcW w:w="2977" w:type="dxa"/>
            <w:vAlign w:val="center"/>
          </w:tcPr>
          <w:p w14:paraId="229BBBE3">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w:t>
            </w:r>
          </w:p>
        </w:tc>
        <w:tc>
          <w:tcPr>
            <w:tcW w:w="709" w:type="dxa"/>
            <w:vAlign w:val="center"/>
          </w:tcPr>
          <w:p w14:paraId="4B83B10E">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100</w:t>
            </w:r>
          </w:p>
        </w:tc>
        <w:tc>
          <w:tcPr>
            <w:tcW w:w="2551" w:type="dxa"/>
            <w:vAlign w:val="center"/>
          </w:tcPr>
          <w:p w14:paraId="162C4BC4">
            <w:pPr>
              <w:jc w:val="center"/>
              <w:rPr>
                <w:rFonts w:hint="default" w:ascii="Times New Roman" w:hAnsi="Times New Roman" w:eastAsia="仿宋" w:cs="Times New Roman"/>
                <w:kern w:val="0"/>
                <w:sz w:val="24"/>
                <w:szCs w:val="20"/>
              </w:rPr>
            </w:pPr>
            <w:r>
              <w:rPr>
                <w:rFonts w:hint="default" w:ascii="Times New Roman" w:hAnsi="Times New Roman" w:eastAsia="仿宋" w:cs="Times New Roman"/>
                <w:kern w:val="0"/>
                <w:sz w:val="24"/>
                <w:szCs w:val="20"/>
              </w:rPr>
              <w:t>-</w:t>
            </w:r>
          </w:p>
        </w:tc>
        <w:tc>
          <w:tcPr>
            <w:tcW w:w="1134" w:type="dxa"/>
          </w:tcPr>
          <w:p w14:paraId="62FCE57E">
            <w:pPr>
              <w:jc w:val="center"/>
              <w:rPr>
                <w:rFonts w:hint="default" w:ascii="Times New Roman" w:hAnsi="Times New Roman" w:eastAsia="仿宋" w:cs="Times New Roman"/>
                <w:kern w:val="0"/>
                <w:sz w:val="24"/>
                <w:szCs w:val="20"/>
              </w:rPr>
            </w:pPr>
          </w:p>
        </w:tc>
      </w:tr>
    </w:tbl>
    <w:p w14:paraId="2E49C6FF">
      <w:pPr>
        <w:spacing w:line="360" w:lineRule="auto"/>
        <w:rPr>
          <w:rFonts w:hint="eastAsia" w:ascii="仿宋" w:hAnsi="仿宋" w:eastAsia="仿宋"/>
          <w:sz w:val="32"/>
          <w:szCs w:val="32"/>
        </w:rPr>
      </w:pPr>
    </w:p>
    <w:p w14:paraId="42AE7D8A">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AC837">
    <w:pPr>
      <w:pStyle w:val="2"/>
      <w:jc w:val="center"/>
      <w:rPr>
        <w:rFonts w:hint="eastAsia"/>
      </w:rPr>
    </w:pPr>
  </w:p>
  <w:p w14:paraId="3C3CACFC">
    <w:pPr>
      <w:pStyle w:val="2"/>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B27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styleId="4">
    <w:name w:val="Table Grid"/>
    <w:basedOn w:val="3"/>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2026-10-11T01:54:24Z</dcterms:created>
  <dc:creator>dl</dc:creator>
  <cp:lastModifiedBy>*玲</cp:lastModifiedBy>
  <dcterms:modified xsi:type="dcterms:W3CDTF">2026-10-11T01:54:39Z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eyJoZGlkIjoiYzQzNmFmZmFkMjRiNmU5ZDFhNDI3MDRiN2M5NzA0OTMiLCJ1c2VySWQiOiI0Mzc0MzUzOTAifQ==</vt:lpwstr>
  </property>
  <property fmtid="{D5CDD505-2E9C-101B-9397-08002B2CF9AE}" pid="4" name="ICV">
    <vt:lpwstr>43B8BDEC960748AA9A5CF685693DD1CB_12</vt:lpwstr>
  </property>
</Properties>
</file>